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3F4" w:rsidRPr="00966312" w:rsidRDefault="003E63F4" w:rsidP="003E63F4">
      <w:pPr>
        <w:framePr w:w="4674" w:h="2348" w:hRule="exact" w:wrap="auto" w:vAnchor="page" w:hAnchor="page" w:x="5521" w:y="1261"/>
        <w:jc w:val="center"/>
        <w:rPr>
          <w:rFonts w:ascii="Bookman Old Style" w:hAnsi="Bookman Old Style"/>
          <w:b/>
          <w:sz w:val="44"/>
        </w:rPr>
      </w:pPr>
      <w:r w:rsidRPr="00966312">
        <w:rPr>
          <w:rFonts w:ascii="Bookman Old Style" w:hAnsi="Bookman Old Style"/>
          <w:b/>
          <w:sz w:val="36"/>
        </w:rPr>
        <w:t>LISTA KONTROLNA</w:t>
      </w:r>
      <w:r w:rsidRPr="00966312">
        <w:rPr>
          <w:rFonts w:ascii="Bookman Old Style" w:hAnsi="Bookman Old Style"/>
          <w:b/>
          <w:sz w:val="44"/>
        </w:rPr>
        <w:t xml:space="preserve"> </w:t>
      </w:r>
    </w:p>
    <w:p w:rsidR="003E63F4" w:rsidRPr="00966312" w:rsidRDefault="003E63F4" w:rsidP="003E63F4">
      <w:pPr>
        <w:framePr w:w="4674" w:h="2348" w:hRule="exact" w:wrap="auto" w:vAnchor="page" w:hAnchor="page" w:x="5521" w:y="1261"/>
        <w:jc w:val="center"/>
        <w:rPr>
          <w:rFonts w:ascii="Bookman Old Style" w:hAnsi="Bookman Old Style"/>
          <w:b/>
          <w:sz w:val="32"/>
        </w:rPr>
      </w:pPr>
      <w:r w:rsidRPr="00966312">
        <w:rPr>
          <w:rFonts w:ascii="Bookman Old Style" w:hAnsi="Bookman Old Style"/>
          <w:b/>
          <w:sz w:val="44"/>
        </w:rPr>
        <w:t xml:space="preserve">SPIWET </w:t>
      </w:r>
      <w:r w:rsidRPr="00966312">
        <w:rPr>
          <w:rFonts w:ascii="Bookman Old Style" w:hAnsi="Bookman Old Style"/>
          <w:b/>
          <w:sz w:val="32"/>
        </w:rPr>
        <w:t>– gospodarstwo</w:t>
      </w:r>
      <w:r>
        <w:rPr>
          <w:rFonts w:ascii="Bookman Old Style" w:hAnsi="Bookman Old Style"/>
          <w:b/>
          <w:sz w:val="32"/>
        </w:rPr>
        <w:t>,</w:t>
      </w:r>
    </w:p>
    <w:p w:rsidR="003E63F4" w:rsidRPr="00966312" w:rsidRDefault="003E63F4" w:rsidP="003E63F4">
      <w:pPr>
        <w:framePr w:w="4674" w:h="2348" w:hRule="exact" w:wrap="auto" w:vAnchor="page" w:hAnchor="page" w:x="5521" w:y="1261"/>
        <w:jc w:val="center"/>
        <w:rPr>
          <w:rFonts w:ascii="Bookman Old Style" w:hAnsi="Bookman Old Style"/>
          <w:b/>
          <w:sz w:val="36"/>
        </w:rPr>
      </w:pPr>
      <w:r>
        <w:rPr>
          <w:rFonts w:ascii="Bookman Old Style" w:hAnsi="Bookman Old Style"/>
          <w:b/>
          <w:sz w:val="32"/>
        </w:rPr>
        <w:t xml:space="preserve">w którym </w:t>
      </w:r>
      <w:r w:rsidRPr="00966312">
        <w:rPr>
          <w:rFonts w:ascii="Bookman Old Style" w:hAnsi="Bookman Old Style"/>
          <w:b/>
          <w:sz w:val="32"/>
        </w:rPr>
        <w:t>utrzym</w:t>
      </w:r>
      <w:r>
        <w:rPr>
          <w:rFonts w:ascii="Bookman Old Style" w:hAnsi="Bookman Old Style"/>
          <w:b/>
          <w:sz w:val="32"/>
        </w:rPr>
        <w:t>ywane są</w:t>
      </w:r>
      <w:r w:rsidRPr="00966312">
        <w:rPr>
          <w:rFonts w:ascii="Bookman Old Style" w:hAnsi="Bookman Old Style"/>
          <w:b/>
          <w:sz w:val="32"/>
        </w:rPr>
        <w:t xml:space="preserve"> zwierzęta (ŚWINIE)</w:t>
      </w:r>
    </w:p>
    <w:p w:rsidR="003E63F4" w:rsidRPr="00966312" w:rsidRDefault="003E63F4" w:rsidP="003E63F4">
      <w:pPr>
        <w:pStyle w:val="Tekstpodstawowy2"/>
        <w:framePr w:w="4674" w:h="2348" w:hRule="exact" w:wrap="auto" w:vAnchor="page" w:hAnchor="page" w:x="5521" w:y="1261"/>
        <w:jc w:val="center"/>
        <w:rPr>
          <w:rFonts w:ascii="Bookman Old Style" w:hAnsi="Bookman Old Style" w:cs="Arial"/>
          <w:b/>
          <w:bCs/>
          <w:lang w:val="pl-PL"/>
        </w:rPr>
      </w:pPr>
    </w:p>
    <w:p w:rsidR="003E63F4" w:rsidRPr="00966312" w:rsidRDefault="003E63F4" w:rsidP="003E63F4">
      <w:pPr>
        <w:rPr>
          <w:rFonts w:ascii="Bookman Old Style" w:hAnsi="Bookman Old Style"/>
          <w:b/>
          <w:bCs/>
        </w:rPr>
      </w:pPr>
    </w:p>
    <w:p w:rsidR="003E63F4" w:rsidRPr="00966312" w:rsidRDefault="003E63F4" w:rsidP="003E63F4">
      <w:pPr>
        <w:framePr w:w="3369" w:h="1175" w:hSpace="141" w:wrap="around" w:vAnchor="text" w:hAnchor="page" w:x="1487" w:y="-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Bookman Old Style" w:hAnsi="Bookman Old Style"/>
        </w:rPr>
      </w:pPr>
    </w:p>
    <w:p w:rsidR="003E63F4" w:rsidRPr="00966312" w:rsidRDefault="003E63F4" w:rsidP="003E63F4">
      <w:pPr>
        <w:framePr w:w="3369" w:h="1175" w:hSpace="141" w:wrap="around" w:vAnchor="text" w:hAnchor="page" w:x="1487" w:y="-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Bookman Old Style" w:hAnsi="Bookman Old Style"/>
        </w:rPr>
      </w:pPr>
    </w:p>
    <w:p w:rsidR="003E63F4" w:rsidRPr="00966312" w:rsidRDefault="003E63F4" w:rsidP="003E63F4">
      <w:pPr>
        <w:framePr w:w="3369" w:h="1175" w:hSpace="141" w:wrap="around" w:vAnchor="text" w:hAnchor="page" w:x="1487" w:y="-6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Bookman Old Style" w:hAnsi="Bookman Old Style"/>
          <w:vertAlign w:val="superscript"/>
        </w:rPr>
      </w:pPr>
    </w:p>
    <w:p w:rsidR="003E63F4" w:rsidRPr="00966312" w:rsidRDefault="003E63F4" w:rsidP="003E63F4">
      <w:pPr>
        <w:pStyle w:val="Legenda"/>
        <w:framePr w:wrap="around" w:x="1487" w:y="-6"/>
        <w:rPr>
          <w:rFonts w:ascii="Bookman Old Style" w:hAnsi="Bookman Old Style"/>
          <w:szCs w:val="24"/>
        </w:rPr>
      </w:pPr>
      <w:r w:rsidRPr="00966312">
        <w:rPr>
          <w:rFonts w:ascii="Bookman Old Style" w:hAnsi="Bookman Old Style"/>
          <w:szCs w:val="24"/>
        </w:rPr>
        <w:t>Pieczęć Powiatowego Lekarza</w:t>
      </w:r>
      <w:r w:rsidRPr="00966312">
        <w:rPr>
          <w:rFonts w:ascii="Bookman Old Style" w:hAnsi="Bookman Old Style"/>
          <w:szCs w:val="24"/>
        </w:rPr>
        <w:br/>
        <w:t>Weterynarii</w:t>
      </w:r>
    </w:p>
    <w:p w:rsidR="003E63F4" w:rsidRDefault="003E63F4" w:rsidP="003E63F4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  <w:r w:rsidRPr="00966312">
        <w:rPr>
          <w:rFonts w:ascii="Bookman Old Style" w:hAnsi="Bookman Old Style"/>
          <w:sz w:val="22"/>
          <w:szCs w:val="22"/>
        </w:rPr>
        <w:t xml:space="preserve">Data rozpoczęcia kontroli </w:t>
      </w:r>
      <w:r>
        <w:rPr>
          <w:rFonts w:ascii="Bookman Old Style" w:hAnsi="Bookman Old Style"/>
          <w:sz w:val="22"/>
          <w:szCs w:val="22"/>
        </w:rPr>
        <w:t>…………...</w:t>
      </w:r>
    </w:p>
    <w:p w:rsidR="003E63F4" w:rsidRPr="00966312" w:rsidRDefault="003E63F4" w:rsidP="003E63F4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  <w:r w:rsidRPr="00966312">
        <w:rPr>
          <w:rFonts w:ascii="Bookman Old Style" w:hAnsi="Bookman Old Style"/>
          <w:sz w:val="22"/>
          <w:szCs w:val="22"/>
        </w:rPr>
        <w:t>Data zakończenia kontroli ………………………………….</w:t>
      </w:r>
    </w:p>
    <w:p w:rsidR="003E63F4" w:rsidRPr="00966312" w:rsidRDefault="003E63F4" w:rsidP="003E63F4">
      <w:pPr>
        <w:rPr>
          <w:rFonts w:ascii="Bookman Old Style" w:hAnsi="Bookman Old Style"/>
        </w:rPr>
      </w:pPr>
      <w:r w:rsidRPr="00966312">
        <w:rPr>
          <w:rFonts w:ascii="Bookman Old Style" w:hAnsi="Bookman Old Style"/>
          <w:sz w:val="22"/>
          <w:szCs w:val="22"/>
        </w:rPr>
        <w:t>Przerwy ………………………………………………………….</w:t>
      </w:r>
    </w:p>
    <w:p w:rsidR="003E63F4" w:rsidRPr="00966312" w:rsidRDefault="003E63F4" w:rsidP="003E63F4">
      <w:pPr>
        <w:jc w:val="center"/>
        <w:rPr>
          <w:rFonts w:ascii="Bookman Old Style" w:hAnsi="Bookman Old Style"/>
        </w:rPr>
      </w:pPr>
    </w:p>
    <w:p w:rsidR="003E63F4" w:rsidRPr="00966312" w:rsidRDefault="003E63F4" w:rsidP="003E63F4">
      <w:pPr>
        <w:ind w:firstLine="708"/>
        <w:jc w:val="center"/>
        <w:rPr>
          <w:rFonts w:ascii="Bookman Old Style" w:hAnsi="Bookman Old Style"/>
        </w:rPr>
      </w:pPr>
      <w:r w:rsidRPr="00966312">
        <w:rPr>
          <w:rFonts w:ascii="Bookman Old Style" w:hAnsi="Bookman Old Style"/>
          <w:b/>
        </w:rPr>
        <w:t>ZAŁĄCZNIK NR …… DO PROTOKOŁU KONTROLI Nr</w:t>
      </w:r>
      <w:r w:rsidRPr="00966312">
        <w:rPr>
          <w:rFonts w:ascii="Bookman Old Style" w:hAnsi="Bookman Old Style"/>
        </w:rPr>
        <w:t xml:space="preserve"> ......................</w:t>
      </w:r>
    </w:p>
    <w:p w:rsidR="003E63F4" w:rsidRPr="00966312" w:rsidRDefault="003E63F4" w:rsidP="003E63F4">
      <w:pPr>
        <w:jc w:val="center"/>
        <w:rPr>
          <w:rFonts w:ascii="Bookman Old Style" w:hAnsi="Bookman Old Style" w:cs="Arial"/>
          <w:sz w:val="18"/>
          <w:szCs w:val="18"/>
        </w:rPr>
      </w:pPr>
      <w:r w:rsidRPr="00966312">
        <w:rPr>
          <w:rFonts w:ascii="Bookman Old Style" w:hAnsi="Bookman Old Style"/>
          <w:b/>
          <w:sz w:val="28"/>
        </w:rPr>
        <w:t xml:space="preserve">  </w:t>
      </w:r>
    </w:p>
    <w:p w:rsidR="003E63F4" w:rsidRPr="00966312" w:rsidRDefault="003E63F4" w:rsidP="003E63F4">
      <w:pPr>
        <w:rPr>
          <w:rFonts w:ascii="Bookman Old Style" w:hAnsi="Bookman Old Style"/>
        </w:rPr>
      </w:pPr>
    </w:p>
    <w:tbl>
      <w:tblPr>
        <w:tblW w:w="960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1"/>
        <w:gridCol w:w="7089"/>
        <w:gridCol w:w="572"/>
        <w:gridCol w:w="709"/>
        <w:gridCol w:w="606"/>
      </w:tblGrid>
      <w:tr w:rsidR="003E63F4" w:rsidRPr="00966312" w:rsidTr="00F36A11">
        <w:trPr>
          <w:cantSplit/>
        </w:trPr>
        <w:tc>
          <w:tcPr>
            <w:tcW w:w="7720" w:type="dxa"/>
            <w:gridSpan w:val="2"/>
            <w:vAlign w:val="center"/>
          </w:tcPr>
          <w:p w:rsidR="003E63F4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 xml:space="preserve">Minimalne warunki utrzymywania świń -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rozporządzenie Ministra Rolnictwa i Rozwoju Wsi z dnia 15 lutego 2010 r. w sprawie wymagań i sposobu postępowania przy utrzymaniu gatunków zwierząt gospodarskich, dla których normy ochrony zostały określone w przepisach Unii Europejskiej (Dz. U. Nr 56, poz. 344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zm.), 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ustawa z dnia 21 sierpnia 1997r. o ochronie zwierząt (</w:t>
            </w:r>
            <w:r w:rsidRPr="00966312">
              <w:rPr>
                <w:rFonts w:ascii="Bookman Old Style" w:hAnsi="Bookman Old Style" w:cs="ACHFIO+TimesNewRoman"/>
                <w:sz w:val="18"/>
                <w:szCs w:val="18"/>
              </w:rPr>
              <w:t>Dz. U. z 2013 r. poz. 856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  <w:t>P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  <w:t>N</w:t>
            </w: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/>
                <w:bCs/>
                <w:i/>
                <w:sz w:val="18"/>
                <w:szCs w:val="18"/>
              </w:rPr>
              <w:t>ND</w:t>
            </w: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Świnie nie są utrzymywane na uwięzi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                                                    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19 ust. 2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Utrzymywane w grupach zwierzęta są w zbliżonym wieku.                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19 ust. 3 pkt 1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Podejmowane są działania minimalizujące agresję i zapobiegające walkom zwierząt.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19 ust. 3 pkt 2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Zwierzęta chore, zranione, wykazujące cechy agresywne lub atakowane przez inne zwierzęta, czasowo utrzymywane są pojedynczo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                                     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19 ust. 4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W gospodarstwie utrzymującym powyżej 10 sztuk loch lub loszek, lochy i loszki od 4 tygodnia po pokryciu do tygodnia przed przewidywanym terminem proszenia</w:t>
            </w:r>
            <w:r>
              <w:rPr>
                <w:rFonts w:ascii="Bookman Old Style" w:hAnsi="Bookman Old Style" w:cs="Arial"/>
                <w:sz w:val="18"/>
                <w:szCs w:val="18"/>
              </w:rPr>
              <w:t>,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utrzymywane są grupowo.                                                             </w:t>
            </w:r>
          </w:p>
          <w:p w:rsidR="003E63F4" w:rsidRPr="00966312" w:rsidRDefault="003E63F4" w:rsidP="00F36A11">
            <w:pPr>
              <w:jc w:val="right"/>
              <w:textAlignment w:val="top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19 ust. 6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Kojce, w których utrzymywane są lochy i loszki w tygodniu poprzedzającym przewidywany termin proszenia, zaopatrzono w materiał umożliwiający budowę gniazda.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(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Dz. U. 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20 ust. 1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Prośne lochy i loszki umieszczone w kojcach do proszenia, czyści się dokładnie i jeśli to konieczne, leczy przeciwko pasożytom zewnętrznym i wewnętrznym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.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20 ust. 2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Powierzchnia kojca do proszenia umożliwia proszenie naturalne lub zapewnia osobie obsługującej, dostęp do zwierzęcia.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Nr 56, poz. 344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zm., §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20 ust. 3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Konstrukcja kojca zapewnia prosiętom swobodny dostęp do karmiącej lochy.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20 ust. 4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W przypadku utrzymywania loch z prosiętami, kojec wyposażony został w przegrodę zapobiegającą przygnieceniu prosiąt przez lochę.                           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20 ust. 5 pkt 1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W przypadku utrzymywania loch z prosiętami, w kojcu wydzielona została część ze ściółką o powierzchni pozwalającej na jednoczesny odpoczynek prosiąt.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20 ust. 5 pkt 2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Świniom zapewniono stały dostęp do materiałów i przedmiotów absorbujących ich uwagę, w szczególności słomy, siana, drewna i trocin, o jakości nie wywierającej szkodliwego wpływu na zdrowie zwierząt.                                                              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21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Prosięta odsadzane są nie wcześniej niż w 28 dniu od urodzenia (jedynie w przypadku zagrożenia zdrowia lochy lub prosięcia - od 21 dnia życia prosięcia).    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22 ust. 1 i 2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Prosięta po odsadzeniu umieszczane są w uprzednio oczyszczony</w:t>
            </w:r>
            <w:r>
              <w:rPr>
                <w:rFonts w:ascii="Bookman Old Style" w:hAnsi="Bookman Old Style" w:cs="Arial"/>
                <w:sz w:val="18"/>
                <w:szCs w:val="18"/>
              </w:rPr>
              <w:t>m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br/>
              <w:t xml:space="preserve">i zdezynfekowanym pomieszczeniu inwentarskim, odizolowanym od tego w którym utrzymuje się lochy.                                                 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22 ust. 2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Świnie poddaje się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zabiegom: </w:t>
            </w:r>
          </w:p>
          <w:p w:rsidR="003E63F4" w:rsidRPr="00966312" w:rsidRDefault="003E63F4" w:rsidP="00F36A11">
            <w:pPr>
              <w:ind w:left="480" w:hanging="480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  1)  diagnostycznym, terapeutycznym oraz związanym z identyfikacją świń; </w:t>
            </w:r>
          </w:p>
          <w:p w:rsidR="003E63F4" w:rsidRPr="00966312" w:rsidRDefault="003E63F4" w:rsidP="00F36A11">
            <w:pPr>
              <w:ind w:left="480" w:hanging="480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  2)  związanym z: </w:t>
            </w:r>
          </w:p>
          <w:p w:rsidR="003E63F4" w:rsidRPr="00966312" w:rsidRDefault="003E63F4" w:rsidP="00F36A11">
            <w:pPr>
              <w:ind w:left="720" w:hanging="360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a)    redukcją kłów u prosiąt i knurów – jedynie ze względów bezpieczeństwa oraz w celu przeciwdziałania okaleczaniu innych świń, </w:t>
            </w:r>
          </w:p>
          <w:p w:rsidR="003E63F4" w:rsidRPr="00966312" w:rsidRDefault="003E63F4" w:rsidP="00F36A11">
            <w:pPr>
              <w:ind w:left="720" w:hanging="360"/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b)    obcinaniem części ogona – po ukończeniu 7 dnia życia, wyłącznie po zastosowaniu długotrwałego znieczulenia oraz, jedynie ze względów bezpieczeństwa i/lub w celu przeciwdziałania okaleczaniu innych świń, </w:t>
            </w:r>
          </w:p>
          <w:p w:rsidR="003E63F4" w:rsidRPr="00966312" w:rsidRDefault="003E63F4" w:rsidP="00F36A11">
            <w:pPr>
              <w:ind w:left="720" w:hanging="360"/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c)    kastracją samców świń </w:t>
            </w:r>
            <w:r>
              <w:rPr>
                <w:rFonts w:ascii="Bookman Old Style" w:hAnsi="Bookman Old Style" w:cs="Arial"/>
                <w:sz w:val="18"/>
                <w:szCs w:val="18"/>
              </w:rPr>
              <w:t>–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 w:cs="Arial"/>
                <w:sz w:val="18"/>
                <w:szCs w:val="18"/>
              </w:rPr>
              <w:t xml:space="preserve">jeśli jest wykonywana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po ukończeniu 7 dnia życia, wyłącznie po zastosowaniu długotrwałego znieczulenia;</w:t>
            </w:r>
          </w:p>
          <w:p w:rsidR="003E63F4" w:rsidRPr="00966312" w:rsidRDefault="003E63F4" w:rsidP="003E63F4">
            <w:pPr>
              <w:pStyle w:val="Tekstpodstawowy"/>
              <w:numPr>
                <w:ilvl w:val="0"/>
                <w:numId w:val="2"/>
              </w:numPr>
              <w:autoSpaceDE/>
              <w:autoSpaceDN/>
              <w:adjustRightInd/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kolczykowaniem nosa.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>po podjęciu środków zapobiegających okaleczaniu, w szczególności poprzez zmianę warunków utrzymania.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                         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23 ust. 1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textAlignment w:val="top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Redukcja kłów u prosiąt i knurów wykonywana jest poprzez ich ścieranie lub obcinanie, z pozostawieniem nienaruszonej, gładkiej powierzchni oraz nie później niż w 7 dniu życia prosięcia – u prosiąt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.                                     </w:t>
            </w:r>
          </w:p>
          <w:p w:rsidR="003E63F4" w:rsidRPr="00966312" w:rsidRDefault="003E63F4" w:rsidP="00F36A11">
            <w:pPr>
              <w:jc w:val="right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23 ust. 2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jc w:val="both"/>
              <w:textAlignment w:val="top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Kastracj</w:t>
            </w:r>
            <w:r>
              <w:rPr>
                <w:rFonts w:ascii="Bookman Old Style" w:hAnsi="Bookman Old Style" w:cs="Arial"/>
                <w:sz w:val="18"/>
                <w:szCs w:val="18"/>
              </w:rPr>
              <w:t>a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samców świń wykona</w:t>
            </w:r>
            <w:r>
              <w:rPr>
                <w:rFonts w:ascii="Bookman Old Style" w:hAnsi="Bookman Old Style" w:cs="Arial"/>
                <w:sz w:val="18"/>
                <w:szCs w:val="18"/>
              </w:rPr>
              <w:t>na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jest przy zastosowaniu technik niepowodujących rozrywania tkanek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.                                                 </w:t>
            </w:r>
          </w:p>
          <w:p w:rsidR="003E63F4" w:rsidRPr="00966312" w:rsidRDefault="003E63F4" w:rsidP="00F36A11">
            <w:pPr>
              <w:jc w:val="right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23 ust. 3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Powierzchnia kojca dla knura utrzymywanego pojedynczo wynosi co najmniej </w:t>
            </w:r>
            <w:smartTag w:uri="urn:schemas-microsoft-com:office:smarttags" w:element="metricconverter">
              <w:smartTagPr>
                <w:attr w:name="ProductID" w:val="6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6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     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24 ust. 1 pkt 1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Powierzchnia kojca dla knura utrzymywanego pojedynczo, w przypadku krycia, wynosi co najmniej </w:t>
            </w:r>
            <w:smartTag w:uri="urn:schemas-microsoft-com:office:smarttags" w:element="metricconverter">
              <w:smartTagPr>
                <w:attr w:name="ProductID" w:val="10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10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.                                         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24 ust. 1 pkt 1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Powierzchnia kojca dla lochy w okresie porodu i odchowu prosiąt ssących wynosi co najmniej </w:t>
            </w:r>
            <w:smartTag w:uri="urn:schemas-microsoft-com:office:smarttags" w:element="metricconverter">
              <w:smartTagPr>
                <w:attr w:name="ProductID" w:val="3,5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3,5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                                             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24 ust. 1 pkt 2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Powierzchnia kojca dla knurów i loszek hodowlanych o masie </w:t>
            </w:r>
            <w:r>
              <w:rPr>
                <w:rFonts w:ascii="Bookman Old Style" w:hAnsi="Bookman Old Style" w:cs="Arial"/>
                <w:sz w:val="18"/>
                <w:szCs w:val="18"/>
              </w:rPr>
              <w:t xml:space="preserve">od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30 do </w:t>
            </w:r>
            <w:smartTag w:uri="urn:schemas-microsoft-com:office:smarttags" w:element="metricconverter">
              <w:smartTagPr>
                <w:attr w:name="ProductID" w:val="110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110 kg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, utrzymywanych pojedynczo, wynosi co najmniej </w:t>
            </w:r>
            <w:smartTag w:uri="urn:schemas-microsoft-com:office:smarttags" w:element="metricconverter">
              <w:smartTagPr>
                <w:attr w:name="ProductID" w:val="2,7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2,7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                    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24 ust. 1 pkt 3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  <w:trHeight w:val="506"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  <w:u w:val="single"/>
              </w:rPr>
              <w:t xml:space="preserve">W systemie utrzymywania loch pojedynczo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wymiary kojca wynoszą: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- długość - co najmniej długość zwierzęcia + 0,3m, niemniej jednak niż 2m;……….m 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- szerokość - co najmniej 0,6m.  ………m                                                                 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24 ust. 2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  <w:trHeight w:val="506"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  <w:u w:val="single"/>
              </w:rPr>
              <w:t>W systemie utrzymywania świń grupowo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powierzchnia kojca wynosi: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  <w:trHeight w:val="506"/>
        </w:trPr>
        <w:tc>
          <w:tcPr>
            <w:tcW w:w="631" w:type="dxa"/>
            <w:vAlign w:val="center"/>
          </w:tcPr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23a.</w:t>
            </w: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knury – co najmniej 6m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         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 xml:space="preserve">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</w:t>
            </w:r>
          </w:p>
          <w:p w:rsidR="003E63F4" w:rsidRPr="00966312" w:rsidRDefault="003E63F4" w:rsidP="00F36A11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     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 xml:space="preserve">                                    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24 ust. 3 pkt 1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  <w:trHeight w:val="506"/>
        </w:trPr>
        <w:tc>
          <w:tcPr>
            <w:tcW w:w="631" w:type="dxa"/>
            <w:vAlign w:val="center"/>
          </w:tcPr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23b.</w:t>
            </w: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warchlaki i tuczniki do </w:t>
            </w:r>
            <w:smartTag w:uri="urn:schemas-microsoft-com:office:smarttags" w:element="metricconverter">
              <w:smartTagPr>
                <w:attr w:name="ProductID" w:val="10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10 kg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masy ciała – </w:t>
            </w:r>
            <w:smartTag w:uri="urn:schemas-microsoft-com:office:smarttags" w:element="metricconverter">
              <w:smartTagPr>
                <w:attr w:name="ProductID" w:val="0,15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0,15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 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3E63F4" w:rsidRPr="00966312" w:rsidRDefault="003E63F4" w:rsidP="00F36A11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     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24 ust. 3 pkt 2, </w:t>
            </w:r>
            <w:proofErr w:type="spellStart"/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lit.a</w:t>
            </w:r>
            <w:proofErr w:type="spellEnd"/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  <w:trHeight w:val="506"/>
        </w:trPr>
        <w:tc>
          <w:tcPr>
            <w:tcW w:w="631" w:type="dxa"/>
            <w:vAlign w:val="center"/>
          </w:tcPr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23c.</w:t>
            </w: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warchlaki i tuczniki powyżej 10 do </w:t>
            </w:r>
            <w:smartTag w:uri="urn:schemas-microsoft-com:office:smarttags" w:element="metricconverter">
              <w:smartTagPr>
                <w:attr w:name="ProductID" w:val="20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20 kg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masy ciała – </w:t>
            </w:r>
            <w:smartTag w:uri="urn:schemas-microsoft-com:office:smarttags" w:element="metricconverter">
              <w:smartTagPr>
                <w:attr w:name="ProductID" w:val="0,2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0,2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  </w:t>
            </w:r>
          </w:p>
          <w:p w:rsidR="003E63F4" w:rsidRPr="00966312" w:rsidRDefault="003E63F4" w:rsidP="00F36A11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     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(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24 ust. 3 pkt 2, </w:t>
            </w:r>
            <w:proofErr w:type="spellStart"/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lit.b</w:t>
            </w:r>
            <w:proofErr w:type="spellEnd"/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  <w:trHeight w:val="506"/>
        </w:trPr>
        <w:tc>
          <w:tcPr>
            <w:tcW w:w="631" w:type="dxa"/>
            <w:vAlign w:val="center"/>
          </w:tcPr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23d.</w:t>
            </w: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warchlaki i tuczniki powyżej 20 do </w:t>
            </w:r>
            <w:smartTag w:uri="urn:schemas-microsoft-com:office:smarttags" w:element="metricconverter">
              <w:smartTagPr>
                <w:attr w:name="ProductID" w:val="30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30 kg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masy ciała – </w:t>
            </w:r>
            <w:smartTag w:uri="urn:schemas-microsoft-com:office:smarttags" w:element="metricconverter">
              <w:smartTagPr>
                <w:attr w:name="ProductID" w:val="0,3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0,3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    </w:t>
            </w:r>
          </w:p>
          <w:p w:rsidR="003E63F4" w:rsidRPr="00966312" w:rsidRDefault="003E63F4" w:rsidP="00F36A11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     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(Dz.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24 ust. 3 pkt 2, </w:t>
            </w:r>
            <w:proofErr w:type="spellStart"/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lit.c</w:t>
            </w:r>
            <w:proofErr w:type="spellEnd"/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  <w:trHeight w:val="506"/>
        </w:trPr>
        <w:tc>
          <w:tcPr>
            <w:tcW w:w="631" w:type="dxa"/>
            <w:vAlign w:val="center"/>
          </w:tcPr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23e.</w:t>
            </w: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warchlaki i tuczniki powyżej 30 do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50 kg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masy ciała – </w:t>
            </w:r>
            <w:smartTag w:uri="urn:schemas-microsoft-com:office:smarttags" w:element="metricconverter">
              <w:smartTagPr>
                <w:attr w:name="ProductID" w:val="0,4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0,4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  </w:t>
            </w:r>
          </w:p>
          <w:p w:rsidR="003E63F4" w:rsidRPr="00966312" w:rsidRDefault="003E63F4" w:rsidP="00F36A11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     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(Dz.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24 ust. 3 pkt 2, </w:t>
            </w:r>
            <w:proofErr w:type="spellStart"/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lit.d</w:t>
            </w:r>
            <w:proofErr w:type="spellEnd"/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  <w:trHeight w:val="506"/>
        </w:trPr>
        <w:tc>
          <w:tcPr>
            <w:tcW w:w="631" w:type="dxa"/>
            <w:vAlign w:val="center"/>
          </w:tcPr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3f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23f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>.</w:t>
            </w: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warchlaki i tuczniki powyżej 50 do </w:t>
            </w:r>
            <w:smartTag w:uri="urn:schemas-microsoft-com:office:smarttags" w:element="metricconverter">
              <w:smartTagPr>
                <w:attr w:name="ProductID" w:val="85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85 kg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masy ciała – </w:t>
            </w:r>
            <w:smartTag w:uri="urn:schemas-microsoft-com:office:smarttags" w:element="metricconverter">
              <w:smartTagPr>
                <w:attr w:name="ProductID" w:val="0,55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0,55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>.</w:t>
            </w:r>
          </w:p>
          <w:p w:rsidR="003E63F4" w:rsidRPr="00966312" w:rsidRDefault="003E63F4" w:rsidP="00F36A11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     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   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24 ust. 3 pkt 2, </w:t>
            </w:r>
            <w:proofErr w:type="spellStart"/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lit.e</w:t>
            </w:r>
            <w:proofErr w:type="spellEnd"/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  <w:trHeight w:val="506"/>
        </w:trPr>
        <w:tc>
          <w:tcPr>
            <w:tcW w:w="631" w:type="dxa"/>
            <w:vAlign w:val="center"/>
          </w:tcPr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lastRenderedPageBreak/>
              <w:t>23g.</w:t>
            </w: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warchlaki i tuczniki powyżej 85 do </w:t>
            </w:r>
            <w:smartTag w:uri="urn:schemas-microsoft-com:office:smarttags" w:element="metricconverter">
              <w:smartTagPr>
                <w:attr w:name="ProductID" w:val="110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110 kg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masy ciała – </w:t>
            </w:r>
            <w:smartTag w:uri="urn:schemas-microsoft-com:office:smarttags" w:element="metricconverter">
              <w:smartTagPr>
                <w:attr w:name="ProductID" w:val="0,65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0,65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 </w:t>
            </w:r>
          </w:p>
          <w:p w:rsidR="003E63F4" w:rsidRPr="00966312" w:rsidRDefault="003E63F4" w:rsidP="00F36A11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     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   (Dz.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24 ust. 3 pkt 2, </w:t>
            </w:r>
            <w:proofErr w:type="spellStart"/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lit.f</w:t>
            </w:r>
            <w:proofErr w:type="spellEnd"/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  <w:trHeight w:val="506"/>
        </w:trPr>
        <w:tc>
          <w:tcPr>
            <w:tcW w:w="631" w:type="dxa"/>
            <w:vAlign w:val="center"/>
          </w:tcPr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23h.</w:t>
            </w: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warchlaki i tuczniki powyżej </w:t>
            </w:r>
            <w:smartTag w:uri="urn:schemas-microsoft-com:office:smarttags" w:element="metricconverter">
              <w:smartTagPr>
                <w:attr w:name="ProductID" w:val="110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110 kg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masy ciała - co najmniej 1m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 </w:t>
            </w:r>
          </w:p>
          <w:p w:rsidR="003E63F4" w:rsidRPr="00966312" w:rsidRDefault="003E63F4" w:rsidP="00F36A11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     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 xml:space="preserve">24 ust. 3 pkt 2, </w:t>
            </w:r>
            <w:proofErr w:type="spellStart"/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lit.g</w:t>
            </w:r>
            <w:proofErr w:type="spellEnd"/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tcBorders>
              <w:bottom w:val="single" w:sz="4" w:space="0" w:color="auto"/>
            </w:tcBorders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tcBorders>
              <w:bottom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knury i loszki hodowlane powyżej 30 do </w:t>
            </w:r>
            <w:smartTag w:uri="urn:schemas-microsoft-com:office:smarttags" w:element="metricconverter">
              <w:smartTagPr>
                <w:attr w:name="ProductID" w:val="110 kg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110 kg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masy ciała – co najmniej </w:t>
            </w:r>
            <w:smartTag w:uri="urn:schemas-microsoft-com:office:smarttags" w:element="metricconverter">
              <w:smartTagPr>
                <w:attr w:name="ProductID" w:val="1,4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1,4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>.</w:t>
            </w:r>
          </w:p>
          <w:p w:rsidR="003E63F4" w:rsidRPr="00966312" w:rsidRDefault="003E63F4" w:rsidP="00F36A11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     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24 ust. 3 pkt 3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tcBorders>
              <w:bottom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b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lochy w grupie– co najmniej </w:t>
            </w:r>
            <w:smartTag w:uri="urn:schemas-microsoft-com:office:smarttags" w:element="metricconverter">
              <w:smartTagPr>
                <w:attr w:name="ProductID" w:val="2,25 m2"/>
              </w:smartTagP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</w:rPr>
                <w:t>2,25 m</w:t>
              </w: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 </w:t>
            </w:r>
          </w:p>
          <w:p w:rsidR="003E63F4" w:rsidRPr="00966312" w:rsidRDefault="003E63F4" w:rsidP="00F36A11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bCs/>
                <w:strike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24 ust. 3 pkt 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)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b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lochy prośne w grupie do 5 sztuk – co najmniej </w:t>
            </w:r>
            <w:smartTag w:uri="urn:schemas-microsoft-com:office:smarttags" w:element="metricconverter">
              <w:smartTagPr>
                <w:attr w:name="ProductID" w:val="2,25 m2"/>
              </w:smartTagP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</w:rPr>
                <w:t>2,25 m</w:t>
              </w: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bCs/>
                <w:sz w:val="18"/>
                <w:szCs w:val="18"/>
                <w:vertAlign w:val="superscript"/>
              </w:rPr>
              <w:t xml:space="preserve"> </w:t>
            </w: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+ 10%  , przy czym co najmniej </w:t>
            </w:r>
            <w:smartTag w:uri="urn:schemas-microsoft-com:office:smarttags" w:element="metricconverter">
              <w:smartTagPr>
                <w:attr w:name="ProductID" w:val="1,3 m2"/>
              </w:smartTagP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</w:rPr>
                <w:t>1,3 m</w:t>
              </w: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bCs/>
                <w:sz w:val="18"/>
                <w:szCs w:val="18"/>
                <w:vertAlign w:val="superscript"/>
              </w:rPr>
              <w:t xml:space="preserve"> </w:t>
            </w: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powierzchni kojca stanowi stałe podłoże i nie więcej niż 15% tego podłoża – otwory odpływowe. </w:t>
            </w:r>
          </w:p>
          <w:p w:rsidR="003E63F4" w:rsidRPr="00966312" w:rsidRDefault="003E63F4" w:rsidP="00F36A11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bCs/>
                <w:sz w:val="18"/>
                <w:szCs w:val="18"/>
              </w:rPr>
            </w:pP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pow. kojca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  <w:vertAlign w:val="superscript"/>
              </w:rPr>
            </w:pP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podł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stałego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……………m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pow. otworów odpływowych (% stałego podłoża)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bCs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24 ust. 3 pkt 4 i ust. 4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b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lochy prośne w grupie od 6 do 39 sztuk – co najmniej </w:t>
            </w:r>
            <w:smartTag w:uri="urn:schemas-microsoft-com:office:smarttags" w:element="metricconverter">
              <w:smartTagPr>
                <w:attr w:name="ProductID" w:val="2,25 m2"/>
              </w:smartTagP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</w:rPr>
                <w:t>2,25 m</w:t>
              </w: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, przy czym co najmniej </w:t>
            </w:r>
            <w:smartTag w:uri="urn:schemas-microsoft-com:office:smarttags" w:element="metricconverter">
              <w:smartTagPr>
                <w:attr w:name="ProductID" w:val="1,3 m2"/>
              </w:smartTagP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</w:rPr>
                <w:t>1,3 m</w:t>
              </w: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bCs/>
                <w:sz w:val="18"/>
                <w:szCs w:val="18"/>
                <w:vertAlign w:val="superscript"/>
              </w:rPr>
              <w:t xml:space="preserve"> </w:t>
            </w: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powierzchni kojca stanowi stałe podłoże i nie więcej niż 15% tego podłoża – otwory odpływowe.  </w:t>
            </w:r>
          </w:p>
          <w:p w:rsidR="003E63F4" w:rsidRPr="00966312" w:rsidRDefault="003E63F4" w:rsidP="00F36A11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bCs/>
                <w:sz w:val="18"/>
                <w:szCs w:val="18"/>
              </w:rPr>
            </w:pP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pow. kojca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  <w:vertAlign w:val="superscript"/>
              </w:rPr>
            </w:pP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podł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stałego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……………m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pow. otworów odpływowych (% stałego podłoża)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bCs/>
                <w:i/>
                <w:sz w:val="18"/>
                <w:szCs w:val="18"/>
              </w:rPr>
            </w:pPr>
            <w:r>
              <w:rPr>
                <w:rFonts w:ascii="Bookman Old Style" w:hAnsi="Bookman Old Style" w:cs="Arial"/>
                <w:bCs/>
                <w:i/>
                <w:sz w:val="18"/>
                <w:szCs w:val="18"/>
              </w:rPr>
              <w:t xml:space="preserve">              </w:t>
            </w:r>
            <w:r w:rsidRPr="00966312">
              <w:rPr>
                <w:rFonts w:ascii="Bookman Old Style" w:hAnsi="Bookman Old Style" w:cs="Arial"/>
                <w:bCs/>
                <w:i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24 ust. 3 pkt 4 i ust. 4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b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lochy prośne w grupie powyżej 39 sztuk – co najmniej </w:t>
            </w:r>
            <w:smartTag w:uri="urn:schemas-microsoft-com:office:smarttags" w:element="metricconverter">
              <w:smartTagPr>
                <w:attr w:name="ProductID" w:val="2,25 m2"/>
              </w:smartTagP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</w:rPr>
                <w:t>2,25 m</w:t>
              </w: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bCs/>
                <w:sz w:val="18"/>
                <w:szCs w:val="18"/>
                <w:vertAlign w:val="superscript"/>
              </w:rPr>
              <w:t xml:space="preserve"> </w:t>
            </w: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- 10%, przy czym co najmniej </w:t>
            </w:r>
            <w:smartTag w:uri="urn:schemas-microsoft-com:office:smarttags" w:element="metricconverter">
              <w:smartTagPr>
                <w:attr w:name="ProductID" w:val="1,3 m2"/>
              </w:smartTagP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</w:rPr>
                <w:t>1,3 m</w:t>
              </w: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bCs/>
                <w:sz w:val="18"/>
                <w:szCs w:val="18"/>
                <w:vertAlign w:val="superscript"/>
              </w:rPr>
              <w:t xml:space="preserve"> </w:t>
            </w: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powierzchni kojca stanowi stałe podłoże i nie więcej niż 15% tego podłoża – otwory odpływowe.   </w:t>
            </w:r>
          </w:p>
          <w:p w:rsidR="003E63F4" w:rsidRPr="00966312" w:rsidRDefault="003E63F4" w:rsidP="00F36A11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bCs/>
                <w:sz w:val="18"/>
                <w:szCs w:val="18"/>
              </w:rPr>
            </w:pP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pow. kojca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  <w:vertAlign w:val="superscript"/>
              </w:rPr>
            </w:pP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podł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stałego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……………m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pow. otworów odpływowych (% stałego podłoża)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bCs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i/>
                <w:sz w:val="18"/>
                <w:szCs w:val="18"/>
              </w:rPr>
              <w:t xml:space="preserve">            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(Dz.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24 ust. 3 pkt 4 i ust. 4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b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loszki po pokryciu w grupie do 5 sztuk - co najmniej </w:t>
            </w:r>
            <w:smartTag w:uri="urn:schemas-microsoft-com:office:smarttags" w:element="metricconverter">
              <w:smartTagPr>
                <w:attr w:name="ProductID" w:val="1,64 m2"/>
              </w:smartTagP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</w:rPr>
                <w:t>1,64 m</w:t>
              </w: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bCs/>
                <w:sz w:val="18"/>
                <w:szCs w:val="18"/>
                <w:vertAlign w:val="superscript"/>
              </w:rPr>
              <w:t xml:space="preserve"> </w:t>
            </w: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+ 10%, przy czym co najmniej </w:t>
            </w:r>
            <w:smartTag w:uri="urn:schemas-microsoft-com:office:smarttags" w:element="metricconverter">
              <w:smartTagPr>
                <w:attr w:name="ProductID" w:val="0,95 m2"/>
              </w:smartTagP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</w:rPr>
                <w:t>0,95 m</w:t>
              </w: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bCs/>
                <w:sz w:val="18"/>
                <w:szCs w:val="18"/>
                <w:vertAlign w:val="superscript"/>
              </w:rPr>
              <w:t xml:space="preserve"> </w:t>
            </w: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powierzchni kojca stanowi stałe podłoże i nie więcej niż 15% tego podłoża – otwory odpływowe.    </w:t>
            </w:r>
          </w:p>
          <w:p w:rsidR="003E63F4" w:rsidRPr="00966312" w:rsidRDefault="003E63F4" w:rsidP="00F36A11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bCs/>
                <w:sz w:val="18"/>
                <w:szCs w:val="18"/>
              </w:rPr>
            </w:pP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pow. kojca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  <w:vertAlign w:val="superscript"/>
              </w:rPr>
            </w:pP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podł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stałego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……………m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pow. otworów odpływowych (% stałego podłoża)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bCs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24 ust. 3 pkt 5 i ust. 4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b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loszki po pokryciu w grupie od 6 do 39 sztuk - co najmniej </w:t>
            </w:r>
            <w:smartTag w:uri="urn:schemas-microsoft-com:office:smarttags" w:element="metricconverter">
              <w:smartTagPr>
                <w:attr w:name="ProductID" w:val="1,64 m2"/>
              </w:smartTagP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</w:rPr>
                <w:t>1,64 m</w:t>
              </w: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, przy czym co najmniej </w:t>
            </w:r>
            <w:smartTag w:uri="urn:schemas-microsoft-com:office:smarttags" w:element="metricconverter">
              <w:smartTagPr>
                <w:attr w:name="ProductID" w:val="0,95 m2"/>
              </w:smartTagP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</w:rPr>
                <w:t>0,95 m</w:t>
              </w: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bCs/>
                <w:sz w:val="18"/>
                <w:szCs w:val="18"/>
                <w:vertAlign w:val="superscript"/>
              </w:rPr>
              <w:t xml:space="preserve"> </w:t>
            </w: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powierzchni kojca stanowi stałe podłoże i nie więcej niż 15% tego podłoża – otwory odpływowe.    </w:t>
            </w:r>
          </w:p>
          <w:p w:rsidR="003E63F4" w:rsidRPr="00966312" w:rsidRDefault="003E63F4" w:rsidP="00F36A11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bCs/>
                <w:sz w:val="18"/>
                <w:szCs w:val="18"/>
              </w:rPr>
            </w:pP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pow. kojca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  <w:vertAlign w:val="superscript"/>
              </w:rPr>
            </w:pP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podł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stałego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……………m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pow. otworów odpływowych (% stałego podłoża)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bCs/>
                <w:i/>
                <w:sz w:val="18"/>
                <w:szCs w:val="18"/>
              </w:rPr>
            </w:pPr>
            <w:r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             </w:t>
            </w: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24 ust. 3 pkt 5 i ust. 4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b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loszki po pokryciu w grupie powyżej 39 sztuk - co najmniej </w:t>
            </w:r>
            <w:smartTag w:uri="urn:schemas-microsoft-com:office:smarttags" w:element="metricconverter">
              <w:smartTagPr>
                <w:attr w:name="ProductID" w:val="1,64 m2"/>
              </w:smartTagP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</w:rPr>
                <w:t>1,64 m</w:t>
              </w: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bCs/>
                <w:sz w:val="18"/>
                <w:szCs w:val="18"/>
                <w:vertAlign w:val="superscript"/>
              </w:rPr>
              <w:t xml:space="preserve">  </w:t>
            </w: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- 10%, przy czym co najmniej </w:t>
            </w:r>
            <w:smartTag w:uri="urn:schemas-microsoft-com:office:smarttags" w:element="metricconverter">
              <w:smartTagPr>
                <w:attr w:name="ProductID" w:val="0,95 m2"/>
              </w:smartTagP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</w:rPr>
                <w:t>0,95 m</w:t>
              </w: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bCs/>
                <w:sz w:val="18"/>
                <w:szCs w:val="18"/>
                <w:vertAlign w:val="superscript"/>
              </w:rPr>
              <w:t xml:space="preserve"> </w:t>
            </w: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powierzchni kojca stanowi stałe podłoże i nie więcej niż 15% tego podłoża – otwory odpływowe. </w:t>
            </w:r>
          </w:p>
          <w:p w:rsidR="003E63F4" w:rsidRPr="00966312" w:rsidRDefault="003E63F4" w:rsidP="00F36A11">
            <w:pPr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/………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= ……..m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/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szt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bCs/>
                <w:sz w:val="18"/>
                <w:szCs w:val="18"/>
              </w:rPr>
            </w:pP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pow. kojca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  <w:vertAlign w:val="superscript"/>
              </w:rPr>
            </w:pP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………… X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szer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…………=    …..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podł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stałego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……………m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pow. otworów odpływowych (% stałego podłoża)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bCs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i/>
                <w:sz w:val="18"/>
                <w:szCs w:val="18"/>
              </w:rPr>
              <w:t xml:space="preserve">            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24 ust. 3 pkt 5 i ust. 4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jc w:val="both"/>
              <w:rPr>
                <w:rFonts w:ascii="Bookman Old Style" w:hAnsi="Bookman Old Style" w:cs="Arial"/>
                <w:b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>W gospodarstwach utrzymujących co najmniej 10 loch lub loszek, l</w:t>
            </w:r>
            <w:r w:rsidRPr="00966312">
              <w:rPr>
                <w:rFonts w:ascii="Bookman Old Style" w:hAnsi="Bookman Old Style" w:cs="Arial"/>
                <w:bCs/>
                <w:iCs/>
                <w:sz w:val="18"/>
                <w:szCs w:val="18"/>
              </w:rPr>
              <w:t xml:space="preserve">ochy i loszki od 4 tygodnia po pokryciu do tygodnia przed przewidywanym terminem proszenia, utrzymywane są grupowo w kojcach w których </w:t>
            </w: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długość każdego </w:t>
            </w: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br/>
              <w:t>z boków wynosi w przypadku grup:</w:t>
            </w:r>
          </w:p>
          <w:p w:rsidR="003E63F4" w:rsidRPr="00966312" w:rsidRDefault="003E63F4" w:rsidP="00F36A11">
            <w:pPr>
              <w:tabs>
                <w:tab w:val="right" w:pos="284"/>
                <w:tab w:val="left" w:pos="408"/>
              </w:tabs>
              <w:ind w:left="408" w:hanging="408"/>
              <w:jc w:val="both"/>
              <w:rPr>
                <w:rFonts w:ascii="Bookman Old Style" w:hAnsi="Bookman Old Style" w:cs="Arial"/>
                <w:b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ab/>
              <w:t>1)</w:t>
            </w: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ab/>
              <w:t xml:space="preserve">do 5 sztuk - co najmniej </w:t>
            </w:r>
            <w:smartTag w:uri="urn:schemas-microsoft-com:office:smarttags" w:element="metricconverter">
              <w:smartTagPr>
                <w:attr w:name="ProductID" w:val="2,41 m"/>
              </w:smartTagPr>
              <w:r w:rsidRPr="00966312">
                <w:rPr>
                  <w:rFonts w:ascii="Bookman Old Style" w:hAnsi="Bookman Old Style" w:cs="Arial"/>
                  <w:bCs/>
                  <w:sz w:val="18"/>
                  <w:szCs w:val="18"/>
                </w:rPr>
                <w:t>2,41 m</w:t>
              </w:r>
            </w:smartTag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>;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b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  2)  </w:t>
            </w:r>
            <w:r w:rsidRPr="00966312">
              <w:rPr>
                <w:rFonts w:ascii="Bookman Old Style" w:hAnsi="Bookman Old Style" w:cs="Arial"/>
                <w:bCs/>
                <w:iCs/>
                <w:sz w:val="18"/>
                <w:szCs w:val="18"/>
              </w:rPr>
              <w:t>powyżej 5</w:t>
            </w:r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bCs/>
                <w:iCs/>
                <w:sz w:val="18"/>
                <w:szCs w:val="18"/>
              </w:rPr>
              <w:t xml:space="preserve">sztuk - co najmniej </w:t>
            </w:r>
            <w:smartTag w:uri="urn:schemas-microsoft-com:office:smarttags" w:element="metricconverter">
              <w:smartTagPr>
                <w:attr w:name="ProductID" w:val="2,81 m"/>
              </w:smartTagPr>
              <w:r w:rsidRPr="00966312">
                <w:rPr>
                  <w:rFonts w:ascii="Bookman Old Style" w:hAnsi="Bookman Old Style" w:cs="Arial"/>
                  <w:bCs/>
                  <w:iCs/>
                  <w:sz w:val="18"/>
                  <w:szCs w:val="18"/>
                </w:rPr>
                <w:t>2,81 m</w:t>
              </w:r>
            </w:smartTag>
            <w:r w:rsidRPr="00966312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.                                               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bCs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bCs/>
                <w:i/>
                <w:sz w:val="18"/>
                <w:szCs w:val="18"/>
              </w:rPr>
              <w:t xml:space="preserve">                                 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24 ust. 5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W systemie utrzymywania świń grupowo na betonowej podłodze szczelinowej szerokość otworów w podłodze wynosi:                                                                   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tcBorders>
              <w:top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33a.</w:t>
            </w:r>
          </w:p>
        </w:tc>
        <w:tc>
          <w:tcPr>
            <w:tcW w:w="7089" w:type="dxa"/>
            <w:tcBorders>
              <w:top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prosięta – do </w:t>
            </w:r>
            <w:smartTag w:uri="urn:schemas-microsoft-com:office:smarttags" w:element="metricconverter">
              <w:smartTagPr>
                <w:attr w:name="ProductID" w:val="11 m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11 mm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………mm                       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25 pkt1, lit a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tcBorders>
              <w:top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33b.</w:t>
            </w: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warchlaki, loszki i knurki hodowlane – do </w:t>
            </w:r>
            <w:smartTag w:uri="urn:schemas-microsoft-com:office:smarttags" w:element="metricconverter">
              <w:smartTagPr>
                <w:attr w:name="ProductID" w:val="14 m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14 mm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     ………mm                                  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25 pkt1, lit a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33c.</w:t>
            </w: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tuczniki – do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18 mm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……………mm              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25 pkt1, lit a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33d.</w:t>
            </w: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loszki po pokryciu – do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20 mm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…………mm 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        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25 pkt1, lit a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W systemie utrzymywania świń grupowo na betonowej podłodze szczelinowej szerokość beleczki w podłodze wynosi:                                                                    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34a.</w:t>
            </w: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prosięta i warchlaki - co najmniej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50 mm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………..mm                                                  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(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25 pkt1, lit b)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34b.</w:t>
            </w: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tuczniki, loszki i knurki hodowlane, loszki po pokryciu, lochy – co najmniej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80 mm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>.</w:t>
            </w:r>
          </w:p>
          <w:p w:rsidR="003E63F4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………..mm                        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(Dz. U.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 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25 pkt1, lit b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W przypadku utrzymywania świń w systemie otwartym, powierzchnia utrzymywania, w przeliczeniu na dorosłą sztukę wynosi co najmniej </w:t>
            </w:r>
            <w:smartTag w:uri="urn:schemas-microsoft-com:office:smarttags" w:element="metricconverter">
              <w:smartTagPr>
                <w:attr w:name="ProductID" w:val="15 m2"/>
              </w:smartTagPr>
              <w:r w:rsidRPr="00966312">
                <w:rPr>
                  <w:rFonts w:ascii="Bookman Old Style" w:hAnsi="Bookman Old Style" w:cs="Arial"/>
                  <w:sz w:val="18"/>
                  <w:szCs w:val="18"/>
                </w:rPr>
                <w:t>15 m</w:t>
              </w:r>
              <w:r w:rsidRPr="00966312">
                <w:rPr>
                  <w:rFonts w:ascii="Bookman Old Style" w:hAnsi="Bookman Old Style" w:cs="Arial"/>
                  <w:sz w:val="18"/>
                  <w:szCs w:val="18"/>
                  <w:vertAlign w:val="superscript"/>
                </w:rPr>
                <w:t>2</w:t>
              </w:r>
            </w:smartTag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.         </w:t>
            </w:r>
          </w:p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……… 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/ ………liczba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zw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=……….m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per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na sztukę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                  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25 pkt 2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Właściwe warunki w pomieszczeniach inwentarskich dla świń: stopień hałasu, stężenie gazów CO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b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, H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bscript"/>
              </w:rPr>
              <w:t>2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S, NH</w:t>
            </w:r>
            <w:r w:rsidRPr="00966312">
              <w:rPr>
                <w:rFonts w:ascii="Bookman Old Style" w:hAnsi="Bookman Old Style" w:cs="Arial"/>
                <w:sz w:val="18"/>
                <w:szCs w:val="18"/>
                <w:vertAlign w:val="subscript"/>
              </w:rPr>
              <w:t>3</w:t>
            </w:r>
            <w:r w:rsidRPr="00966312">
              <w:rPr>
                <w:rFonts w:ascii="Bookman Old Style" w:hAnsi="Bookman Old Style" w:cs="Arial"/>
                <w:iCs/>
                <w:sz w:val="18"/>
                <w:szCs w:val="18"/>
              </w:rPr>
              <w:t xml:space="preserve">                                          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Cs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26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Default="003E63F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Pomieszczenia inwentarskie są oświetlon</w:t>
            </w:r>
            <w:r>
              <w:rPr>
                <w:rFonts w:ascii="Bookman Old Style" w:hAnsi="Bookman Old Style" w:cs="Arial"/>
                <w:sz w:val="18"/>
                <w:szCs w:val="18"/>
              </w:rPr>
              <w:t>e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co najmniej 8 godzin dzienni</w:t>
            </w:r>
            <w:r>
              <w:rPr>
                <w:rFonts w:ascii="Bookman Old Style" w:hAnsi="Bookman Old Style" w:cs="Arial"/>
                <w:sz w:val="18"/>
                <w:szCs w:val="18"/>
              </w:rPr>
              <w:t>e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światłem o natężeniu co najmniej 40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lux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……….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lux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 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Nr 56, poz. 344, § </w:t>
            </w:r>
            <w:r w:rsidRPr="00966312">
              <w:rPr>
                <w:rFonts w:ascii="Bookman Old Style" w:hAnsi="Bookman Old Style" w:cs="Arial"/>
                <w:i/>
                <w:iCs/>
                <w:sz w:val="18"/>
                <w:szCs w:val="18"/>
              </w:rPr>
              <w:t>5 ust. 6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Świnie dogląda się co najmniej raz dziennie.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, § 6 ust. 1)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Świnie karmi się co najmniej raz dziennie, a w przypadku utrzymania grupowego zapewnia się jednoczesny dostęp do paszy. 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, § 13 ust. 3)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631" w:type="dxa"/>
            <w:vAlign w:val="center"/>
          </w:tcPr>
          <w:p w:rsidR="003E63F4" w:rsidRPr="00966312" w:rsidRDefault="003E63F4" w:rsidP="003E63F4">
            <w:pPr>
              <w:pStyle w:val="Tekstpodstawowy"/>
              <w:numPr>
                <w:ilvl w:val="0"/>
                <w:numId w:val="1"/>
              </w:numPr>
              <w:autoSpaceDE/>
              <w:autoSpaceDN/>
              <w:adjustRightInd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7089" w:type="dxa"/>
            <w:vAlign w:val="center"/>
          </w:tcPr>
          <w:p w:rsidR="003E63F4" w:rsidRPr="00966312" w:rsidRDefault="003E63F4" w:rsidP="00F36A11">
            <w:pPr>
              <w:jc w:val="both"/>
              <w:textAlignment w:val="top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18"/>
                <w:szCs w:val="18"/>
              </w:rPr>
              <w:t>Świnie, powyżej 2 tygodnia życia, maja zapewniony stały dostęp do wody.</w:t>
            </w:r>
          </w:p>
          <w:p w:rsidR="003E63F4" w:rsidRPr="00966312" w:rsidRDefault="003E63F4" w:rsidP="00F36A11">
            <w:pPr>
              <w:pStyle w:val="Tekstpodstawowy"/>
              <w:jc w:val="right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 xml:space="preserve">(Dz. U. </w:t>
            </w:r>
            <w:r>
              <w:rPr>
                <w:rFonts w:ascii="Bookman Old Style" w:hAnsi="Bookman Old Style" w:cs="Arial"/>
                <w:i/>
                <w:sz w:val="18"/>
                <w:szCs w:val="18"/>
              </w:rPr>
              <w:t xml:space="preserve">z 2010 r., 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Nr 56, poz. 344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 xml:space="preserve"> z </w:t>
            </w:r>
            <w:proofErr w:type="spellStart"/>
            <w:r w:rsidRPr="00966312">
              <w:rPr>
                <w:rFonts w:ascii="Bookman Old Style" w:hAnsi="Bookman Old Style" w:cs="Arial"/>
                <w:sz w:val="18"/>
                <w:szCs w:val="18"/>
              </w:rPr>
              <w:t>późn</w:t>
            </w:r>
            <w:proofErr w:type="spellEnd"/>
            <w:r w:rsidRPr="00966312">
              <w:rPr>
                <w:rFonts w:ascii="Bookman Old Style" w:hAnsi="Bookman Old Style" w:cs="Arial"/>
                <w:sz w:val="18"/>
                <w:szCs w:val="18"/>
              </w:rPr>
              <w:t>. zm.</w:t>
            </w:r>
            <w:r w:rsidRPr="00966312">
              <w:rPr>
                <w:rFonts w:ascii="Bookman Old Style" w:hAnsi="Bookman Old Style" w:cs="Arial"/>
                <w:i/>
                <w:sz w:val="18"/>
                <w:szCs w:val="18"/>
              </w:rPr>
              <w:t>, § 10 ust. 1)</w:t>
            </w:r>
          </w:p>
        </w:tc>
        <w:tc>
          <w:tcPr>
            <w:tcW w:w="572" w:type="dxa"/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  <w:tc>
          <w:tcPr>
            <w:tcW w:w="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i/>
                <w:sz w:val="18"/>
                <w:szCs w:val="18"/>
              </w:rPr>
            </w:pPr>
          </w:p>
        </w:tc>
      </w:tr>
      <w:tr w:rsidR="003E63F4" w:rsidRPr="00966312" w:rsidTr="00F36A11">
        <w:trPr>
          <w:cantSplit/>
        </w:trPr>
        <w:tc>
          <w:tcPr>
            <w:tcW w:w="9607" w:type="dxa"/>
            <w:gridSpan w:val="5"/>
            <w:vAlign w:val="center"/>
          </w:tcPr>
          <w:p w:rsidR="003E63F4" w:rsidRPr="00966312" w:rsidRDefault="003E63F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3E63F4" w:rsidRPr="00966312" w:rsidRDefault="003E63F4" w:rsidP="00F36A1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966312">
              <w:rPr>
                <w:rFonts w:ascii="Bookman Old Style" w:hAnsi="Bookman Old Style" w:cs="Arial"/>
                <w:sz w:val="22"/>
                <w:szCs w:val="22"/>
              </w:rPr>
              <w:t>Opis niezgodności zaznaczonych w kolumnie „N” (Ocena Negatywna)</w:t>
            </w:r>
          </w:p>
          <w:p w:rsidR="003E63F4" w:rsidRPr="00966312" w:rsidRDefault="003E63F4" w:rsidP="00F36A11">
            <w:pPr>
              <w:pStyle w:val="Tekstpodstawowy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:rsidR="003E63F4" w:rsidRPr="00966312" w:rsidRDefault="003E63F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3E63F4" w:rsidRPr="00966312" w:rsidRDefault="003E63F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</w:tc>
      </w:tr>
      <w:tr w:rsidR="003E63F4" w:rsidRPr="00966312" w:rsidTr="00F36A11">
        <w:trPr>
          <w:trHeight w:val="750"/>
        </w:trPr>
        <w:tc>
          <w:tcPr>
            <w:tcW w:w="9607" w:type="dxa"/>
            <w:gridSpan w:val="5"/>
            <w:tcBorders>
              <w:bottom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3E63F4" w:rsidRPr="00966312" w:rsidRDefault="003E63F4" w:rsidP="00F36A11">
            <w:pPr>
              <w:pStyle w:val="Tekstpodstawowy"/>
              <w:jc w:val="center"/>
              <w:rPr>
                <w:rFonts w:ascii="Bookman Old Style" w:hAnsi="Bookman Old Style" w:cs="Arial"/>
                <w:sz w:val="22"/>
                <w:szCs w:val="22"/>
                <w:vertAlign w:val="superscript"/>
              </w:rPr>
            </w:pPr>
            <w:r w:rsidRPr="00966312">
              <w:rPr>
                <w:rFonts w:ascii="Bookman Old Style" w:hAnsi="Bookman Old Style" w:cs="Arial"/>
                <w:sz w:val="22"/>
                <w:szCs w:val="22"/>
              </w:rPr>
              <w:t xml:space="preserve">Zastrzeżenia lub wyjaśnienia kontrolowanego do niniejszego protokołu </w:t>
            </w:r>
            <w:r w:rsidRPr="00966312">
              <w:rPr>
                <w:rFonts w:ascii="Bookman Old Style" w:hAnsi="Bookman Old Style" w:cs="Arial"/>
                <w:sz w:val="22"/>
                <w:szCs w:val="22"/>
                <w:vertAlign w:val="superscript"/>
              </w:rPr>
              <w:t>1,2</w:t>
            </w:r>
          </w:p>
          <w:p w:rsidR="003E63F4" w:rsidRPr="00966312" w:rsidRDefault="003E63F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3E63F4" w:rsidRPr="00966312" w:rsidRDefault="003E63F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3E63F4" w:rsidRPr="00966312" w:rsidRDefault="003E63F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  <w:p w:rsidR="003E63F4" w:rsidRPr="00966312" w:rsidRDefault="003E63F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i/>
                <w:sz w:val="22"/>
              </w:rPr>
            </w:pPr>
          </w:p>
        </w:tc>
      </w:tr>
      <w:tr w:rsidR="003E63F4" w:rsidRPr="00966312" w:rsidTr="00F36A11">
        <w:trPr>
          <w:trHeight w:val="840"/>
        </w:trPr>
        <w:tc>
          <w:tcPr>
            <w:tcW w:w="9607" w:type="dxa"/>
            <w:gridSpan w:val="5"/>
            <w:tcBorders>
              <w:top w:val="single" w:sz="4" w:space="0" w:color="auto"/>
            </w:tcBorders>
            <w:vAlign w:val="center"/>
          </w:tcPr>
          <w:p w:rsidR="003E63F4" w:rsidRPr="00966312" w:rsidRDefault="003E63F4" w:rsidP="00F36A1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b/>
                <w:sz w:val="20"/>
                <w:szCs w:val="20"/>
              </w:rPr>
              <w:t>Protokół podpisali:</w:t>
            </w:r>
          </w:p>
          <w:p w:rsidR="003E63F4" w:rsidRPr="00966312" w:rsidRDefault="003E63F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3E63F4" w:rsidRPr="00966312" w:rsidRDefault="003E63F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20"/>
                <w:szCs w:val="20"/>
              </w:rPr>
            </w:pPr>
          </w:p>
          <w:p w:rsidR="003E63F4" w:rsidRPr="00966312" w:rsidRDefault="003E63F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6"/>
                <w:szCs w:val="16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……………………………………………….                                           … ……….…………………………………………….         </w:t>
            </w:r>
          </w:p>
          <w:p w:rsidR="003E63F4" w:rsidRPr="00966312" w:rsidRDefault="003E63F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6"/>
                <w:szCs w:val="16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     (data i podpis Kontrolowanego)                                                        (pieczęć, data i podpis kontrolującego)</w:t>
            </w:r>
          </w:p>
          <w:p w:rsidR="003E63F4" w:rsidRPr="00966312" w:rsidRDefault="003E63F4" w:rsidP="00F36A11">
            <w:pPr>
              <w:pStyle w:val="Tekstpodstawowywcity"/>
              <w:spacing w:after="120" w:line="271" w:lineRule="auto"/>
              <w:ind w:left="238"/>
              <w:jc w:val="left"/>
              <w:rPr>
                <w:rFonts w:ascii="Bookman Old Style" w:hAnsi="Bookman Old Style"/>
                <w:sz w:val="16"/>
                <w:szCs w:val="16"/>
              </w:rPr>
            </w:pPr>
            <w:r w:rsidRPr="00966312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</w:p>
          <w:p w:rsidR="003E63F4" w:rsidRPr="00966312" w:rsidRDefault="003E63F4" w:rsidP="00F36A1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b/>
                <w:sz w:val="18"/>
                <w:szCs w:val="18"/>
              </w:rPr>
            </w:pP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POUCZENIE</w:t>
            </w:r>
          </w:p>
          <w:p w:rsidR="003E63F4" w:rsidRPr="00966312" w:rsidRDefault="003E63F4" w:rsidP="00F36A11">
            <w:pPr>
              <w:pStyle w:val="Tekstpodstawowywcity"/>
              <w:spacing w:line="271" w:lineRule="auto"/>
              <w:ind w:left="360" w:hanging="360"/>
              <w:rPr>
                <w:rFonts w:ascii="Bookman Old Style" w:hAnsi="Bookman Old Style"/>
                <w:sz w:val="18"/>
                <w:szCs w:val="18"/>
              </w:rPr>
            </w:pPr>
          </w:p>
          <w:p w:rsidR="003E63F4" w:rsidRPr="00966312" w:rsidRDefault="003E63F4" w:rsidP="003E63F4">
            <w:pPr>
              <w:pStyle w:val="Tekstpodstawowywcity"/>
              <w:numPr>
                <w:ilvl w:val="0"/>
                <w:numId w:val="3"/>
              </w:numPr>
              <w:tabs>
                <w:tab w:val="clear" w:pos="720"/>
                <w:tab w:val="num" w:pos="426"/>
              </w:tabs>
              <w:spacing w:line="271" w:lineRule="auto"/>
              <w:ind w:hanging="578"/>
              <w:rPr>
                <w:rFonts w:ascii="Bookman Old Style" w:hAnsi="Bookman Old Style"/>
                <w:sz w:val="18"/>
                <w:szCs w:val="18"/>
              </w:rPr>
            </w:pPr>
            <w:r w:rsidRPr="00AA3D74">
              <w:rPr>
                <w:rFonts w:ascii="Bookman Old Style" w:hAnsi="Bookman Old Style"/>
                <w:sz w:val="18"/>
                <w:szCs w:val="18"/>
              </w:rPr>
              <w:t>Zastrzeżenia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do protokołu można zgłosić </w:t>
            </w: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 xml:space="preserve">w terminie 7 dni 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>od dnia otrzymania protokołu kontroli;</w:t>
            </w:r>
          </w:p>
          <w:p w:rsidR="003E63F4" w:rsidRPr="00966312" w:rsidRDefault="003E63F4" w:rsidP="003E63F4">
            <w:pPr>
              <w:pStyle w:val="Tekstpodstawowywcity"/>
              <w:numPr>
                <w:ilvl w:val="0"/>
                <w:numId w:val="3"/>
              </w:numPr>
              <w:tabs>
                <w:tab w:val="clear" w:pos="720"/>
                <w:tab w:val="num" w:pos="426"/>
              </w:tabs>
              <w:spacing w:line="271" w:lineRule="auto"/>
              <w:ind w:left="470"/>
              <w:rPr>
                <w:rFonts w:ascii="Bookman Old Style" w:hAnsi="Bookman Old Style"/>
                <w:sz w:val="18"/>
                <w:szCs w:val="18"/>
              </w:rPr>
            </w:pP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W przypadku odmowy podpisania protokołu, istnieje obowiązek złożenia na tę okoliczność, przez Kontrolowanego, </w:t>
            </w: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w terminie 7 dni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od daty otrzymania protokołu, </w:t>
            </w:r>
            <w:r w:rsidRPr="00966312">
              <w:rPr>
                <w:rFonts w:ascii="Bookman Old Style" w:hAnsi="Bookman Old Style"/>
                <w:b/>
                <w:sz w:val="18"/>
                <w:szCs w:val="18"/>
              </w:rPr>
              <w:t>wyjaśnień</w:t>
            </w: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dotyczących przyczyn odmowy podpisania protokołu kontroli.</w:t>
            </w:r>
          </w:p>
          <w:p w:rsidR="003E63F4" w:rsidRPr="00966312" w:rsidRDefault="003E63F4" w:rsidP="00F36A11">
            <w:pPr>
              <w:pStyle w:val="Tekstpodstawowy"/>
              <w:ind w:left="426" w:hanging="426"/>
              <w:rPr>
                <w:rFonts w:ascii="Bookman Old Style" w:hAnsi="Bookman Old Style" w:cs="Arial"/>
                <w:b/>
                <w:i/>
                <w:sz w:val="22"/>
              </w:rPr>
            </w:pPr>
            <w:r w:rsidRPr="00966312">
              <w:rPr>
                <w:rFonts w:ascii="Bookman Old Style" w:hAnsi="Bookman Old Style"/>
                <w:sz w:val="18"/>
                <w:szCs w:val="18"/>
              </w:rPr>
              <w:t xml:space="preserve">  3)   Odmowa podpisania protokołu kontroli nie stanowi przeszkody do podpisania go przez kontrolującego i   realizacji ustaleń kontroli.</w:t>
            </w:r>
          </w:p>
        </w:tc>
      </w:tr>
    </w:tbl>
    <w:p w:rsidR="00052DE9" w:rsidRDefault="00052DE9">
      <w:bookmarkStart w:id="0" w:name="_GoBack"/>
      <w:bookmarkEnd w:id="0"/>
    </w:p>
    <w:sectPr w:rsidR="00052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EUAlbertina-Reg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CHFI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B29C9"/>
    <w:multiLevelType w:val="hybridMultilevel"/>
    <w:tmpl w:val="6CF0D000"/>
    <w:lvl w:ilvl="0" w:tplc="9D0EBAB0">
      <w:start w:val="4"/>
      <w:numFmt w:val="lowerLetter"/>
      <w:lvlText w:val="%1)"/>
      <w:lvlJc w:val="left"/>
      <w:pPr>
        <w:tabs>
          <w:tab w:val="num" w:pos="690"/>
        </w:tabs>
        <w:ind w:left="69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</w:lvl>
  </w:abstractNum>
  <w:abstractNum w:abstractNumId="1" w15:restartNumberingAfterBreak="0">
    <w:nsid w:val="592C2BA4"/>
    <w:multiLevelType w:val="hybridMultilevel"/>
    <w:tmpl w:val="13C4C812"/>
    <w:lvl w:ilvl="0" w:tplc="083C232E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2102123"/>
    <w:multiLevelType w:val="hybridMultilevel"/>
    <w:tmpl w:val="DA12736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3F4"/>
    <w:rsid w:val="00052DE9"/>
    <w:rsid w:val="003E6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65D375-558A-4B4C-A923-7D952D85F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63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3E63F4"/>
    <w:pPr>
      <w:autoSpaceDE w:val="0"/>
      <w:autoSpaceDN w:val="0"/>
      <w:adjustRightInd w:val="0"/>
    </w:pPr>
    <w:rPr>
      <w:rFonts w:ascii="EUAlbertina-Regu" w:hAnsi="EUAlbertina-Regu"/>
      <w:sz w:val="17"/>
      <w:szCs w:val="17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E63F4"/>
    <w:rPr>
      <w:rFonts w:ascii="EUAlbertina-Regu" w:eastAsia="Times New Roman" w:hAnsi="EUAlbertina-Regu" w:cs="Times New Roman"/>
      <w:sz w:val="17"/>
      <w:szCs w:val="17"/>
      <w:lang w:eastAsia="pl-PL"/>
    </w:rPr>
  </w:style>
  <w:style w:type="paragraph" w:styleId="Tekstpodstawowywcity">
    <w:name w:val="Body Text Indent"/>
    <w:basedOn w:val="Normalny"/>
    <w:link w:val="TekstpodstawowywcityZnak"/>
    <w:rsid w:val="003E63F4"/>
    <w:pPr>
      <w:ind w:left="24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E63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3E63F4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rsid w:val="003E63F4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Legenda">
    <w:name w:val="caption"/>
    <w:basedOn w:val="Normalny"/>
    <w:next w:val="Normalny"/>
    <w:uiPriority w:val="35"/>
    <w:qFormat/>
    <w:rsid w:val="003E63F4"/>
    <w:pPr>
      <w:framePr w:w="3369" w:h="1175" w:hSpace="141" w:wrap="around" w:vAnchor="text" w:hAnchor="page" w:x="1441" w:y="-2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rFonts w:ascii="Arial" w:hAnsi="Arial"/>
      <w:i/>
      <w:szCs w:val="20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2150</Words>
  <Characters>12905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</dc:creator>
  <cp:keywords/>
  <dc:description/>
  <cp:lastModifiedBy>Konrad</cp:lastModifiedBy>
  <cp:revision>1</cp:revision>
  <dcterms:created xsi:type="dcterms:W3CDTF">2017-10-12T09:59:00Z</dcterms:created>
  <dcterms:modified xsi:type="dcterms:W3CDTF">2017-10-12T10:00:00Z</dcterms:modified>
</cp:coreProperties>
</file>